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Рентгенэндоваскулярные диагностика и лечение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Рентгенэндоваскулярные диагностика и лечение | Записей: 2</w:t>
      </w:r>
    </w:p>
    <w:p>
      <w:r>
        <w:br w:type="page"/>
      </w:r>
    </w:p>
    <w:p>
      <w:pPr>
        <w:pStyle w:val="Heading1"/>
      </w:pPr>
      <w:r>
        <w:t>Рентгенэндоваскулярные диагностика и лечение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Рентгенэндоваскулярные диагностика и лечение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65 лет вызвал бригаду СМП по поводу длительных (1 час) болей за грудиной, возникших в покое, не купировавшихся приемом нитроглицерина.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длительные (1 час) боли за грудиной, возникшие в покое, не купировавшиеся приемом нитроглицерина.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Длительное время больной отмечал клинику стенокардии напряжения на уровне II ф.к. По данному поводу неоднократно обследовался, наблюдается у кардиолога. Принимает регулярно терапию (название препаратов не помнит).</w:t>
      </w:r>
    </w:p>
    <w:p>
      <w:pPr>
        <w:spacing w:after="58"/>
      </w:pPr>
      <w:r>
        <w:rPr>
          <w:b w:val="0"/>
          <w:i w:val="0"/>
        </w:rPr>
        <w:t>На ЭКГ: ритм синусовый, одиночная желудочковая экстрасистолия, ЧСС 65 уд/мин., горизонтальное положение ЭОС, элевация сегмент ST в отведениях V1-V3 до 4 мм. Выставлен предварительный диагноз ОКС с подъемом сегмента ST.</w:t>
      </w:r>
    </w:p>
    <w:p>
      <w:r>
        <w:drawing>
          <wp:inline xmlns:a="http://schemas.openxmlformats.org/drawingml/2006/main" xmlns:pic="http://schemas.openxmlformats.org/drawingml/2006/picture">
            <wp:extent cx="5303520" cy="2640444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a12a5c029314937e8c951d9eb3784bb936446eaa.gif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64044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Анамнез заболевания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Гипертоническая болезнь в течение 15 лет с максимальными цифрами АД 200/100мм рт. ст.</w:t>
      </w:r>
    </w:p>
    <w:p>
      <w:pPr>
        <w:spacing w:after="58"/>
      </w:pPr>
      <w:r>
        <w:rPr>
          <w:b w:val="0"/>
          <w:i w:val="0"/>
        </w:rPr>
        <w:t>Сахарный диабет 2 типа. На фоне медикаментозной терапии гликемия натощак 8.0 ммоль/л, гликированный гемоглобин 7,2%.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относительно тяжелое. Кожные покровы бледные, ладони влажные. Пульс 82 уд/мин., АД – 90/60 мм рт. ст. Границы сердца расширены влево на 1,5 см. Тоны приглушены, ритмичные. В легких дыхание везикулярное. Живот мягкий, безболезненный. Печень не пальпируется.</w:t>
      </w:r>
    </w:p>
    <w:p>
      <w:pPr>
        <w:pStyle w:val="Heading2"/>
      </w:pPr>
      <w:r>
        <w:t>1. Лечение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Дальнейшей тактикой ведения больного бригадой СМП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направление пациента в поликлинику по месту жительства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купирование приступа и рекомендация плановой госпитализации в специализированный стационар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экстренная госпитализация в больницу с кардиореанимацией и рентгеноперационной (у пациента подозрение на ИМ)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перенаправление вызова на врачебную бригаду неотложной помощи и ждать реанимобиль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экстренная госпитализация в больницу с кардиореанимацией и рентгеноперационной (у пациента подозрение на ИМ)</w:t>
      </w:r>
    </w:p>
    <w:p>
      <w:pPr>
        <w:ind w:left="504"/>
      </w:pPr>
      <w:r>
        <w:rPr>
          <w:b w:val="0"/>
          <w:i/>
        </w:rPr>
        <w:t>«Предпочтительно немедленно транспортировать больных с ИМпST в центр, где есть возможности для круглосуточного проведения первичных ЧКВ опытными специалистами.»</w:t>
        <w:br/>
        <w:br/>
        <w:t>Показания к реваскуляризации миокарда (Российский cогласительный документ). – М.: НЦССХ им. А. Н. Бакулева РАМН, 2011, с. 162, с. 52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Бригада СМП предлагает пациенту экстренную госпитализацию в ближайшую клинику с кардиоблоком. До больницы ехать 20 минут. Больной соглашается на госпитализацию. В процессе транспортировки фельдшер купировал болевой синдром у пациента при помощи опиоидов. На догоспитальном этапе должна быть начата терапия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клопедогрелем (600 мг) и ацетилсалициловой кислотой (300 мг)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празугрелем 180 мг и ривароксабаном 25 мг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стрептокиназой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прямыми оральными антикоагулянтами в нагрузочной дозе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клопедогрелем (600 мг) и ацетилсалициловой кислотой (300 мг)</w:t>
      </w:r>
    </w:p>
    <w:p>
      <w:pPr>
        <w:ind w:left="504"/>
      </w:pPr>
      <w:r>
        <w:rPr>
          <w:b w:val="0"/>
          <w:i/>
        </w:rPr>
        <w:t>«Если планируется первичное ЧКВ: Аспирин внутрь 150-300 мг или в/в 80-150 мг, если прием внутрь невозможен. Клопидогрель внутрь 600 мг.»</w:t>
        <w:br/>
        <w:br/>
        <w:t>КЛИНИЧЕСКИЕ РЕКОМЕНДАЦИИ (ПРОТОКОЛ) ПО ОКАЗАНИЮ СКОРОЙ МЕДИЦИНСКОЙ ПОМОЩИ ПРИ ОСТРОМ КОРОНАРНОМ СИНДРОМЕ С ПОДЪЕМОМ СЕГМЕНТА ST. Российское общество скорой медицинской помощи 2014. Стр. 11</w:t>
      </w:r>
    </w:p>
    <w:p>
      <w:pPr>
        <w:pStyle w:val="Heading2"/>
      </w:pPr>
      <w:r>
        <w:t>4. Изображение 1</w:t>
      </w:r>
    </w:p>
    <w:p>
      <w:r>
        <w:drawing>
          <wp:inline xmlns:a="http://schemas.openxmlformats.org/drawingml/2006/main" xmlns:pic="http://schemas.openxmlformats.org/drawingml/2006/picture">
            <wp:extent cx="5303520" cy="2917345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bd223166a9db9d057ca0a4036230a4b0924e09e.gif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91734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1</w:t>
      </w:r>
    </w:p>
    <w:p>
      <w:pPr>
        <w:spacing w:after="58"/>
      </w:pPr>
      <w:r>
        <w:rPr>
          <w:b w:val="0"/>
          <w:i w:val="0"/>
        </w:rPr>
        <w:t>{nbsp}</w:t>
      </w:r>
    </w:p>
    <w:p>
      <w:pPr>
        <w:spacing w:after="58"/>
      </w:pPr>
      <w:r>
        <w:rPr>
          <w:b w:val="0"/>
          <w:i w:val="0"/>
        </w:rPr>
        <w:t>Пациент доставлен в кардиоблок. При поступлении: кожные покровы бледные, ладони влажные. Пульс 75 уд/мин., АД – 100/60 мм рт. ст. Тоны приглушены, ритмичные. ЧДД 20 в минуту. В легких дыхание везикулярное. Живот мягкий, безболезненный. Печень не пальпируется. На ЭКГ при поступлении: ритм синусовый, горизонтальное положение ЭОС, ЧСС 75 уд/мин., подъём сегмента ST в V1-V5 до 9 мм.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Дальнейшей тактикой лечения в данном случае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перевести пациента в кардиореанимацию и продолжить наблюдение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начать пациенту тромболизис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экстренная коронароангиография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коронароангиография в плановом порядке (после получения результатов ЭГДС, Эхо-КГ, анализов на тропонин I и КФК)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экстренная коронароангиография</w:t>
      </w:r>
    </w:p>
    <w:p>
      <w:pPr>
        <w:ind w:left="504"/>
      </w:pPr>
      <w:r>
        <w:rPr>
          <w:b w:val="0"/>
          <w:i/>
        </w:rPr>
        <w:t>«Больных с ОКСбпST или ИМпST и нестабильной гемодинамикой следует немедленно направить на инвазивное обследование и реваскуляризацию целевого сосуда»</w:t>
        <w:br/>
        <w:br/>
        <w:t>Показания к реваскуляризации миокарда (Российский cогласительный документ). – М.: НЦССХ им. А. Н. Бакулева РАМН, 2011, С. 60</w:t>
      </w:r>
    </w:p>
    <w:p>
      <w:pPr>
        <w:pStyle w:val="Heading2"/>
      </w:pPr>
      <w:r>
        <w:t>6. Изображение 2</w:t>
      </w:r>
    </w:p>
    <w:p>
      <w:r>
        <w:drawing>
          <wp:inline xmlns:a="http://schemas.openxmlformats.org/drawingml/2006/main" xmlns:pic="http://schemas.openxmlformats.org/drawingml/2006/picture">
            <wp:extent cx="5303520" cy="5106282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71b6eb04a98d5161579b30617b7ab7e56e2dc662.gif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10628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2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Пациент экстренно подан в рентгеноперационную. При коронароангиографии получена следующая картина (Изображение 2), диагностирована окклюзия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передней нисходящей артерии в среднем сегменте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правой коронарной артерии в среднем сегменте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правой коронарной артерии в устье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огибающей артерии в среднем сегменте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передней нисходящей артерии в среднем сегменте</w:t>
      </w:r>
    </w:p>
    <w:p>
      <w:pPr>
        <w:ind w:left="504"/>
      </w:pPr>
      <w:r>
        <w:rPr>
          <w:b w:val="0"/>
          <w:i/>
        </w:rPr>
        <w:t>Рентгенэндоваскулярная хирургия. Национальное руководство: в 4т. /под ред. Академика РАН Б.Г. Алекяна.-М.: Литтерра, - 2017, Т.2 Ишемическая болезнь сердца. С. 67</w:t>
      </w:r>
    </w:p>
    <w:p>
      <w:pPr>
        <w:pStyle w:val="Heading2"/>
      </w:pPr>
      <w:r>
        <w:t>8. Изображение 3</w:t>
      </w:r>
    </w:p>
    <w:p>
      <w:r>
        <w:drawing>
          <wp:inline xmlns:a="http://schemas.openxmlformats.org/drawingml/2006/main" xmlns:pic="http://schemas.openxmlformats.org/drawingml/2006/picture">
            <wp:extent cx="5303520" cy="5193684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fbda3ca02fb51b0e2456ab9e6dd1595d05d95fe.gif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1936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3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Данная сьемка (Изображение 3) выполнена в __________ проекции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правой косой с каудальной аннуляцией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прямой с краниальной аннуляцией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правой косой с краниальной аннуляцией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левой боковой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правой косой с каудальной аннуляцией</w:t>
      </w:r>
    </w:p>
    <w:p>
      <w:pPr>
        <w:ind w:left="504"/>
      </w:pPr>
      <w:r>
        <w:rPr>
          <w:b w:val="0"/>
          <w:i/>
        </w:rPr>
        <w:t>Рентгенэндоваскулярная хирургия. Национальное руководство: в 4т. /под ред. Академика РАН Б.Г. Алекяна.-М.: Литтерра, - 2017, Т.2 Ишемическая болезнь сердца. С. 67</w:t>
      </w:r>
    </w:p>
    <w:p>
      <w:pPr>
        <w:pStyle w:val="Heading2"/>
      </w:pPr>
      <w:r>
        <w:t>10. Изображение 4</w:t>
      </w:r>
    </w:p>
    <w:p>
      <w:r>
        <w:drawing>
          <wp:inline xmlns:a="http://schemas.openxmlformats.org/drawingml/2006/main" xmlns:pic="http://schemas.openxmlformats.org/drawingml/2006/picture">
            <wp:extent cx="5303520" cy="5992047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e9e03e8d4ebb5859ceea4c1e371a07a3719fec24.gif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99204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4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При проведении КАГ для снятия правой коронарной артерии использовалась +__________________+ проекция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левая косая с каудальной аннуляцией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правая косая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левая косая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правая косая с краниальной аннуляцией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левая косая</w:t>
      </w:r>
    </w:p>
    <w:p>
      <w:pPr>
        <w:ind w:left="504"/>
      </w:pPr>
      <w:r>
        <w:rPr>
          <w:b w:val="0"/>
          <w:i/>
        </w:rPr>
        <w:t>Рентгенэндоваскулярная хирургия. Национальное руководство: в 4т. /под ред. Б.Г. Алекяна.-М.: Литтерра, - 2017, Т.2 Ишемическая болезнь сердца. С. 71</w:t>
      </w:r>
    </w:p>
    <w:p>
      <w:pPr>
        <w:pStyle w:val="Heading2"/>
      </w:pPr>
      <w:r>
        <w:t>12. Изображение 5</w:t>
      </w:r>
    </w:p>
    <w:p>
      <w:r>
        <w:drawing>
          <wp:inline xmlns:a="http://schemas.openxmlformats.org/drawingml/2006/main" xmlns:pic="http://schemas.openxmlformats.org/drawingml/2006/picture">
            <wp:extent cx="5303520" cy="5155827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aa9bae806938b9fd45cfa8c1ea4c4e5a35e8db7.gif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15582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5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На данной ангиограмме (Изображение 5) визуализируется окклюзия передней нисходящей артерии в +_____+ сегменте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нижнем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дистальном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проксимальном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среднем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среднем</w:t>
      </w:r>
    </w:p>
    <w:p>
      <w:pPr>
        <w:ind w:left="504"/>
      </w:pPr>
      <w:r>
        <w:rPr>
          <w:b w:val="0"/>
          <w:i/>
        </w:rPr>
        <w:t>ПМЖВ: проксимальная треть – до первой ДВ или первой септальной ветви; средняя треть – до отхождения последней ДВ; дистальная треть – после отхождения последней ДВ. Диагональные ветви нумеруются в порядке отхождения от ПМЖВ.</w:t>
        <w:br/>
        <w:br/>
        <w:t>Рентгенэндоваскулярная хирургия. Национальное руководство: в 4т. /под ред.  Б.Г. Алекяна.-М.: Литтерра, - 2017,Т.2 Ишемическая болезнь сердца. С. 63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По данным КАГ выявлена окклюзия ПНА в среднем сегменте. Учитывая жалобы, анамнез пациента, объективные данные и данные ангиографии, оптимальным способом лечения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реканализация ПНА, имплантация стента с лекарственным покрытием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реканализация ПНА, имплантация голометаллического стента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баллонная ангиопластика баллонным катетером с лекарственным покрытием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коронарная ангиопластика и стентирование проксимального сегмента ОА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реканализация ПНА, имплантация стента с лекарственным покрытием</w:t>
      </w:r>
    </w:p>
    <w:p>
      <w:pPr>
        <w:ind w:left="504"/>
      </w:pPr>
      <w:r>
        <w:rPr>
          <w:b w:val="0"/>
          <w:i/>
        </w:rPr>
        <w:t>«Рекомендуется использовать СВЛ (предпочтительно второго поколения), а не ГМС, у больных с ожидаемой хорошей приверженностью к лечению, не имеющих противопоказаний к длительной ДАТТ и не нуждающихся в длительном использовании антикоагулянтов [2-4]. Уровень убедительности рекомендаций IIa (Уровень достоверности доказательств А).»</w:t>
        <w:br/>
        <w:br/>
      </w:r>
      <w:hyperlink r:id="rId15">
        <w:r>
          <w:rPr>
            <w:color w:val="0F766E"/>
            <w:u w:val="single"/>
          </w:rPr>
          <w:t>Клинические рекомендации Острый инфаркт миокарда с подъемом сегмента ST электрокардиограммы 2016.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15. Изображение 6</w:t>
      </w:r>
    </w:p>
    <w:p>
      <w:r>
        <w:drawing>
          <wp:inline xmlns:a="http://schemas.openxmlformats.org/drawingml/2006/main" xmlns:pic="http://schemas.openxmlformats.org/drawingml/2006/picture">
            <wp:extent cx="5303520" cy="2075592"/>
            <wp:docPr id="7" name="Picture 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4425332ad6ae5662577a4eb93b739ce9ba6735f5.gif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07559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6</w:t>
      </w:r>
    </w:p>
    <w:p>
      <w:pPr>
        <w:spacing w:after="58"/>
      </w:pPr>
      <w:r>
        <w:rPr>
          <w:b w:val="0"/>
          <w:i w:val="0"/>
        </w:rPr>
        <w:t>{nbsp}</w:t>
      </w:r>
    </w:p>
    <w:p>
      <w:pPr>
        <w:spacing w:after="58"/>
      </w:pPr>
      <w:r>
        <w:rPr>
          <w:b w:val="0"/>
          <w:i w:val="0"/>
        </w:rPr>
        <w:t>Пациенту выполнена реканализация ПНА и имплантация стента с лекарственным покрытием. При контрольной КАГ стент полностью расправлен, кровоток по артериям TIMI 3. Из рентгеноперационной пациент переведен в ОРИТ. Состояние средней степени тяжести, при снятии контрольной ЭКГ через 2 ч после операции получены следующие данные: синусовый ритм, ЧСС 68 уд/мин., элевация сегмент ST в отведениях I, V1-V4 до 4,5 мм.</w:t>
      </w:r>
    </w:p>
    <w:p>
      <w:pPr>
        <w:spacing w:after="58"/>
      </w:pPr>
      <w:r>
        <w:rPr>
          <w:b w:val="0"/>
          <w:i w:val="0"/>
        </w:rPr>
        <w:t>Объективно: Сознание ясное, пациент контактен. ЧСС 68 уд. в мин. Тоны сердца приглушены, ритмичные. Шумов нет. АД 110/70 мм рт. ст.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Учитывая полученные данные дальнейшая тактика на данном этапе это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повторная КАГ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наблюдие в ОРИТ с прикроватным мониторированием ЭКГ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перевод пациента в палату терапевтического отделения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выполнение ЭГДС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наблюдие в ОРИТ с прикроватным мониторированием ЭКГ</w:t>
      </w:r>
    </w:p>
    <w:p>
      <w:pPr>
        <w:ind w:left="504"/>
      </w:pPr>
      <w:r>
        <w:rPr>
          <w:b w:val="0"/>
          <w:i/>
        </w:rPr>
        <w:t>«После реперфузии рекомендуется госпитализировать пациентов сИМпST в отделение интенсивной терапии, где может быть обеспечено непрерывное мониторинговое наблюдение и специализированный уход.»</w:t>
        <w:br/>
        <w:br/>
        <w:t xml:space="preserve">Рекомендации ЕОК по ведению пациентов с острым инфарктом миокарда с подъемом сегмента ST, 2017// Российский кардиологический журнал. – 2018. - № 23 (5). – с. 130. Режим доступа: </w:t>
      </w:r>
      <w:hyperlink r:id="rId18">
        <w:r>
          <w:rPr>
            <w:color w:val="0F766E"/>
            <w:u w:val="single"/>
          </w:rPr>
          <w:t>https://scardio.ru/content/Guidelines/05_rkj_18_recomendation.pdf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Оптимальной антиагрегантной терапией для данного пациента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6 месяцев двойная антикоагулянтная терапия: Клопидогрел, Ривароксабан; затем еще 6 месяцев Ривароксабан; затем монотерапия Аспирин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 месяц тройная антикоагулянтная терапия Аспирин, Клопидогрел, Ривароксабан; затем еще 11 месяцев двойная терапия Клопидогрел, Ривароксабан; затем монотерапия Ривароксабан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 месяца тройная антикоагулянтная терапия Аспирин, Клопидогрел, Апиксабан; затем еще 9 месяцев двойная терапия Клопидогрел, Апиксабан; затем монотерапия Клопидогрел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двойная антиагрегантная: клопидогрель 12 месяцев 75 мг/сут., Аспирин 100 мг постоянно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двойная антиагрегантная: клопидогрель 12 месяцев 75 мг/сут., Аспирин 100 мг постоянно</w:t>
      </w:r>
    </w:p>
    <w:p>
      <w:pPr>
        <w:ind w:left="504"/>
      </w:pPr>
      <w:r>
        <w:rPr>
          <w:b w:val="0"/>
          <w:i/>
        </w:rPr>
        <w:t>«Двойная антиагрегантная терапия, включающая аспирин иингибитор P2Y12 (т.е. прасугрел, тикагрелор или клопидогрель), рекомендуется всем пациентам с ИМпST, которым выполнено первичное ЧКВ (до 12 месяцев)»</w:t>
        <w:br/>
        <w:br/>
        <w:t xml:space="preserve">Рекомендации ЕОК по ведению пациентов с острым инфарктом миокарда с подъемом сегмента ST, 2017// Российский кардиологический журнал. – 2018. - № 23 (5). – с. 138. Режим доступа: </w:t>
      </w:r>
      <w:hyperlink r:id="rId18">
        <w:r>
          <w:rPr>
            <w:color w:val="0F766E"/>
            <w:u w:val="single"/>
          </w:rPr>
          <w:t>https://scardio.ru/content/Guidelines/05_rkj_18_recomendation.pdf</w:t>
        </w:r>
      </w:hyperlink>
    </w:p>
    <w:p>
      <w:pPr>
        <w:pStyle w:val="Heading2"/>
      </w:pPr>
      <w:r>
        <w:t>2.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Катетеризация ЛКА проводится в _____ проекции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левой с каудальной аннуляцией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правой с каудальной аннуляцией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прямой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правой с краниальной аннуляцией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прямой</w:t>
      </w:r>
    </w:p>
    <w:p>
      <w:pPr>
        <w:ind w:left="504"/>
      </w:pPr>
      <w:r>
        <w:rPr>
          <w:b w:val="0"/>
          <w:i/>
        </w:rPr>
        <w:t>«Катетеризация ЛКА с помощью катетера Judkins Left осуществляется наиболее часто в переднезадней проекции.»</w:t>
        <w:br/>
        <w:br/>
        <w:t>Рентгенэндоваскулярная хирургия. Национальное руководство: в 4т. /под ред. Б.Г. Алекяна.-М.: Литтерра, - 2017, Т.2 Ишемическая болезнь сердца. С. 81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Катетеризация ПКА проводится в +_________________+ проекции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правой с краниальной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прямой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левой косой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правой с каудальной аннуляцией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левой косой</w:t>
      </w:r>
    </w:p>
    <w:p>
      <w:pPr>
        <w:ind w:left="504"/>
      </w:pPr>
      <w:r>
        <w:rPr>
          <w:b w:val="0"/>
          <w:i/>
        </w:rPr>
        <w:t>«Катетеризация устья ПКА выполняется в левой косой (LAO 45-60°) или в левой боковой проекции (LAO 90°).»</w:t>
        <w:br/>
        <w:br/>
        <w:t>Рентгенэндоваскулярная хирургия. Национальное руководство: в 4т. /под ред.  Б.Г. Алекяна.-М.: Литтерра, - 2017, Т.2 Ишемическая болезнь сердца. С. 81</w:t>
      </w:r>
    </w:p>
    <w:p>
      <w:r>
        <w:drawing>
          <wp:inline xmlns:a="http://schemas.openxmlformats.org/drawingml/2006/main" xmlns:pic="http://schemas.openxmlformats.org/drawingml/2006/picture">
            <wp:extent cx="5303520" cy="2659336"/>
            <wp:docPr id="8" name="Picture 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ff1ec370bdcc945183dd9c8a992b530d663bd03.gif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65933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r>
        <w:drawing>
          <wp:inline xmlns:a="http://schemas.openxmlformats.org/drawingml/2006/main" xmlns:pic="http://schemas.openxmlformats.org/drawingml/2006/picture">
            <wp:extent cx="5303520" cy="2754224"/>
            <wp:docPr id="9" name="Picture 9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3504be168004cff3949e686349b9d2286d8e3a7c.gif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75422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r>
        <w:drawing>
          <wp:inline xmlns:a="http://schemas.openxmlformats.org/drawingml/2006/main" xmlns:pic="http://schemas.openxmlformats.org/drawingml/2006/picture">
            <wp:extent cx="5303520" cy="2125645"/>
            <wp:docPr id="10" name="Picture 10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7d3c283f4f247f57e9a194369bcfede186b12dd2.gif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12564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Рентгенэндоваскулярные диагностика и лечение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Рентгенэндоваскулярные диагностика и лечение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53 лет самостоятельно обратился за медицинской помощью в приемное отделение Клинической больницы №1 и был госпитализирован в хирургическое отделение.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умеренные ноющие боли в верхних отделах живота, общую слабость, периодическое повышение температуры тела до 38оС.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За несколько лет до обращения пациент перенес острый деструктивный панкреатит, по поводу которого лечился в стационаре хирургического профиля, где ему была проведена диагностическая лапароскопия с последующим дренированием брюшной полости и комплексная консервативная терапия. Ухудшение самочувствия пациент отмечает около 2 недель, когда появились сильные боли в брюшной полости, которые и побудили пациента обратиться за медицинской помощью.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Вредные привычки: Алкоголем злоупотребляет регулярно (через день до 100 мл в пересчете на 96% C2H5OH), не курит</w:t>
      </w:r>
    </w:p>
    <w:p>
      <w:pPr>
        <w:spacing w:after="58"/>
      </w:pPr>
      <w:r>
        <w:rPr>
          <w:b w:val="0"/>
          <w:i w:val="0"/>
        </w:rPr>
        <w:t>* Гемотрансфузий не было</w:t>
      </w:r>
    </w:p>
    <w:p>
      <w:pPr>
        <w:spacing w:after="58"/>
      </w:pPr>
      <w:r>
        <w:rPr>
          <w:b w:val="0"/>
          <w:i w:val="0"/>
        </w:rPr>
        <w:t>* Семейный анамнез: не отягощен</w:t>
      </w:r>
    </w:p>
    <w:p>
      <w:pPr>
        <w:spacing w:after="58"/>
      </w:pPr>
      <w:r>
        <w:rPr>
          <w:b w:val="0"/>
          <w:i w:val="0"/>
        </w:rPr>
        <w:t>* Наличие аллергических реакций на препараты, пищевые продукты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средней тяжести. Язык сухой. Живот не увеличен, не вздут, симметрично участвует в акте дыхания. При пальпации живот умеренно напряжен и болезненный в эпигастральной области, где определяется плотное образование. Симптомов раздражения брюшины нет. Дыхание везикулярное, хрипы не выслушиваются, ЧДД 17 в минуту. Тоны сердца ритмичные, ЧСС 82 в минуту, АД 127/83 мм рт. ст.</w:t>
      </w:r>
    </w:p>
    <w:p>
      <w:pPr>
        <w:pStyle w:val="Heading3"/>
      </w:pPr>
      <w:r>
        <w:t>1.6. Ультразвуковое исследование</w:t>
      </w:r>
    </w:p>
    <w:p>
      <w:pPr>
        <w:spacing w:after="58"/>
      </w:pPr>
      <w:r>
        <w:rPr>
          <w:b w:val="0"/>
          <w:i w:val="0"/>
        </w:rPr>
        <w:t>При проведении планового ультразвукового исследования органов брюшной полости было обнаружено в проекции хвоста и тела поджелудочной железы образование до 80 мм в диаметре, неправильной формы, пониженной эхогенности, неоднородной структуры за счёт множества мелких эхопозитивных включений.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Наиболее информативным методом инструментальной диагностики для верификации данной патологии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магнитно - резонансная томография с контрастным усилением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диагностическая лапаротомия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ультразвуковое исследование с контрастным усилением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компьютерная томография с контрастным усилением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компьютерная томография с контрастным усилением</w:t>
      </w:r>
    </w:p>
    <w:p>
      <w:pPr>
        <w:ind w:left="504"/>
      </w:pPr>
      <w:r>
        <w:rPr>
          <w:b w:val="0"/>
          <w:i/>
        </w:rPr>
        <w:t>Выполнение компьютерной томографии с применением контрастного вещества (контрастного усиления, болюсного введения контрастного вещества) в настоящее время выступает как метод выбора. Информативность компьютерной томографии весьма высока. Она позволяет верифицировать заболевание практически у всех исследуемых пациентов, может быть выполнена в короткие сроки и доступна большинству крупных стационаров.</w:t>
        <w:br/>
        <w:br/>
      </w:r>
      <w:hyperlink r:id="rId22">
        <w:r>
          <w:rPr>
            <w:color w:val="0F766E"/>
            <w:u w:val="single"/>
          </w:rPr>
          <w:t>Клинические рекомендации Минздрава России. Хронический панкреатит, 2020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инструментального метода обследования</w:t>
      </w:r>
    </w:p>
    <w:p>
      <w:pPr>
        <w:pStyle w:val="Heading3"/>
      </w:pPr>
      <w:r>
        <w:t>3.1. Компьютерная томография с контрастным усилением</w:t>
      </w:r>
    </w:p>
    <w:p>
      <w:pPr>
        <w:spacing w:after="58"/>
      </w:pPr>
      <w:r>
        <w:rPr>
          <w:b w:val="0"/>
          <w:i w:val="0"/>
        </w:rPr>
        <w:t>При проведении компьютерной томографии с болюсным контрастным усилением было обнаружено гетерогенное жидкостное образование в проекции тела и хвоста поджелудочной железы, с неровными нечеткими контурами, размером 83 х 45 мм, с отсутствием накопления контрастного вещества.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На основе имеющейся клинической, анамнестической и инструментальной информации данному пациенту необходимо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пункцию очагового образования поджелудочной железы под контролем компьютерной томографии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диагностическую пункцию очагового образования поджелудочной железы под ультразвуковым контролем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пункцию очагового образования поджелудочной железы под контролем магнитно – резонансной томографии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лапаротомию с ревизией органов брюшной полости и забрюшинного пространства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диагностическую пункцию очагового образования поджелудочной железы под ультразвуковым контролем</w:t>
      </w:r>
    </w:p>
    <w:p>
      <w:pPr>
        <w:ind w:left="504"/>
      </w:pPr>
      <w:r>
        <w:rPr>
          <w:b w:val="0"/>
          <w:i/>
        </w:rPr>
        <w:t>На современном этапе развития контролируемых миниинвазивных вмешательств при заболеваниях поджелудочной железы ультразвуковой контроль, позволяющий выполнять манипуляции в режиме реального времени и не имеющий лучевой нагрузки ни на пациента, ни на выполняющего процедуру врача, распространен наиболее широко.</w:t>
        <w:br/>
        <w:br/>
      </w:r>
      <w:hyperlink r:id="rId22">
        <w:r>
          <w:rPr>
            <w:color w:val="0F766E"/>
            <w:u w:val="single"/>
          </w:rPr>
          <w:t>Клинические рекомендации Минздрава России. Хронический панкреатит, 2020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Методом исследования, которому подвергается содержимое псевдокисты поджелудочной железы, полученное при проведении пункции,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только цитологическое исследование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гистологическое и бактериологическое исследование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цитологическое и бактериологическое исследование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только бактериологическое исследование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цитологическое и бактериологическое исследование</w:t>
      </w:r>
    </w:p>
    <w:p>
      <w:pPr>
        <w:ind w:left="504"/>
      </w:pPr>
      <w:r>
        <w:rPr>
          <w:b w:val="0"/>
          <w:i/>
        </w:rPr>
        <w:t>При аспирации содержимого полученную жидкость отправляют на цитологическое исследование в химически чистой посуде. Посев на микрофлору отправляют в стерильных закрытых пробирках с соблюдением правил асептики, с последующим назначением алгоритма антибактериальной терапии с учетом полученных результатов исследования.</w:t>
        <w:br/>
        <w:br/>
      </w:r>
      <w:hyperlink r:id="rId22">
        <w:r>
          <w:rPr>
            <w:color w:val="0F766E"/>
            <w:u w:val="single"/>
          </w:rPr>
          <w:t>Клинические рекомендации Минздрава России. Хронический панкреатит, 2020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Следующим диагностическим этапом для данного пациента является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хирургического вмешательства с последующим санацией патологического очага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дренирования псевдокисты тела поджелудочной железы под контролем ультразвуковой навигации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интенсивной медикаментозной терапии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дренирования полости под контролем компьютерной томографии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дренирования псевдокисты тела поджелудочной железы под контролем ультразвуковой навигации</w:t>
      </w:r>
    </w:p>
    <w:p>
      <w:pPr>
        <w:ind w:left="504"/>
      </w:pPr>
      <w:r>
        <w:rPr>
          <w:b w:val="0"/>
          <w:i/>
        </w:rPr>
        <w:t>При тяжелом состоянии пациента рекомендуется дренирование очагового образования под ультразвуковым контролем позволяющее уменьшить риск осложнений, которые могут возникнуть у больного как во время оперативного вмешательства, так и в послеоперационном периоде, а также не требует серьезного анестезиологического пособия.</w:t>
        <w:br/>
        <w:br/>
      </w:r>
      <w:hyperlink r:id="rId22">
        <w:r>
          <w:rPr>
            <w:color w:val="0F766E"/>
            <w:u w:val="single"/>
          </w:rPr>
          <w:t>Клинические рекомендации Минздрава России. Хронический панкреатит, 2020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Основными видами дренирования под ультразвуковым контролем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одномоментное и двухмоментное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 методике Сельдингера и с помощью стилет - катетера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первичное и вторичное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малокалиберное и крупнокалиберное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малокалиберное и крупнокалиберное</w:t>
      </w:r>
    </w:p>
    <w:p>
      <w:pPr>
        <w:ind w:left="504"/>
      </w:pPr>
      <w:r>
        <w:rPr>
          <w:b w:val="0"/>
          <w:i/>
        </w:rPr>
        <w:t>Различают следующие виды дренирования под ультразвуковым контролем: малокалиберное (с помощью стилет – катетера; по методике Сельдингера; с применением лапароскопического троакара и установкой дренажа через его просвет) и крупнокалиберное (первичное; вторичное).</w:t>
        <w:br/>
        <w:br/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Тактика проведения миниинвазивного вмешательства при расположении очага деструкции в теле поджелудочной железы должна включать пункцию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через две стенки желудка и его просвет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 отсутствии желудка над поверхностью образования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во время диагностической лапароскопии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 время диагностической лапаротомии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через две стенки желудка и его просвет</w:t>
      </w:r>
    </w:p>
    <w:p>
      <w:pPr>
        <w:ind w:left="504"/>
      </w:pPr>
      <w:r>
        <w:rPr>
          <w:b w:val="0"/>
          <w:i/>
        </w:rPr>
        <w:t>В таких случаях мультифокальные биопсии поджелудочной железы под контролем ультразвукового исследования осуществляется в два этапа: сначала последовательно через стенки желудка и его просвет проводят иглу большего диаметра и удерживают ее в неподвижном положении, затем в просвет первой иглы вводят иглу меньшего диаметра, которую продвигают в зону сальниковой сумки и поджелудочной железы, где последовательно осуществляют забор тканевого материала.</w:t>
        <w:br/>
        <w:br/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  <w:br/>
        <w:br/>
        <w:t>Глава 5. Чрескожные пункционно – дренирующие методы диагностики и лечения</w:t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Методом дренирования под ультразвуковым контролем, при котором используется катетер типа «pig tail», является дренирование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малокалиберное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 методике Сельдингера под контролем компьютерной томографии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 помощью стилет – катетера под контролем магнитно – резонансной томографии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крупнокалиберное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малокалиберное</w:t>
      </w:r>
    </w:p>
    <w:p>
      <w:pPr>
        <w:ind w:left="504"/>
      </w:pPr>
      <w:r>
        <w:rPr>
          <w:b w:val="0"/>
          <w:i/>
        </w:rPr>
        <w:t>Фиксация катетера в жидкостном очаге происходит за счёт термочувствительной «памяти» пластика, который деформируется в незамкнутое кольцо заданного диаметра (свиной хвост – «pig tail») после удаления металлического стилета.</w:t>
        <w:br/>
        <w:br/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  <w:br/>
        <w:br/>
        <w:t>Глава 5. Чрескожные пункционно – дренирующие методы диагностики и лечения</w:t>
        <w:br/>
        <w:br/>
      </w:r>
      <w:hyperlink r:id="rId2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Максимальным диаметром телескопического бужа при крупнокалиберном дренировании является +___+ Fr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38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24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36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36</w:t>
      </w:r>
    </w:p>
    <w:p>
      <w:pPr>
        <w:ind w:left="504"/>
      </w:pPr>
      <w:r>
        <w:rPr>
          <w:b w:val="0"/>
          <w:i/>
        </w:rPr>
        <w:t>По проводнику в полость вводятся установочная канюля, по которой последовательно винтообразно вводятся телескопические бужи от 9 F до 36 F. Затем на установочной канюле все бужи удаляются кроме последнего, по которому в полость проводится полимерный термопластический дренаж.</w:t>
        <w:br/>
        <w:br/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  <w:br/>
        <w:br/>
        <w:t>Глава 5. Чрескожные пункционно – дренирующие методы диагностики и лечения</w:t>
        <w:br/>
        <w:br/>
      </w:r>
      <w:hyperlink r:id="rId3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Максимальный диаметр бужа (Fr), используемого при дренировании по Сельдингеру, является +___+ Fr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8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15</w:t>
      </w:r>
    </w:p>
    <w:p>
      <w:pPr>
        <w:ind w:left="504"/>
      </w:pPr>
      <w:r>
        <w:rPr>
          <w:b w:val="0"/>
          <w:i/>
        </w:rPr>
        <w:t>При дренировании под ультразвуковым контролем по методике Сельдингера через проводник – струну заводят пластиковые бужи со ступенчатым увеличением диаметра от 8 Fr до 15 Fr</w:t>
        <w:br/>
        <w:br/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  <w:br/>
        <w:br/>
        <w:t>Глава 5. Чрескожные пункционно – дренирующие методы диагностики и лечения</w:t>
        <w:br/>
        <w:br/>
      </w:r>
      <w:hyperlink r:id="rId3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Отличием вторичное крупнокалиберного дренирования от первичного является то, что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вторичное крупнокалиберное дренирование проводится после первичного крупнокалиберного дренирования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вторичное крупнокалиберное дренирование проводится после малокалиберного дренирования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вторичное крупнокалиберное дренирование проводится после хирургического вмешательства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при вторичном крупнокалиберном дренировании направляющую канюлю устанавливают в сформированный канал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 вторичном крупнокалиберном дренировании направляющую канюлю устанавливают в сформированный канал</w:t>
      </w:r>
    </w:p>
    <w:p>
      <w:pPr>
        <w:ind w:left="504"/>
      </w:pPr>
      <w:r>
        <w:rPr>
          <w:b w:val="0"/>
          <w:i/>
        </w:rPr>
        <w:t>При первичном крупнокалиберном дренировании по проводнику в очаг вводят направляющую канюлю – «шпагу». При вторичном крупнокалиберном дренировании направляющую канюлю устанавливают в уже сформированный канал.</w:t>
        <w:br/>
        <w:br/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  <w:br/>
        <w:br/>
        <w:t>Глава 5. Чрескожные пункционно – дренирующие методы диагностики и лечения</w:t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 случае отсутствия эффективности от проведенного дренирования под ультразвуковым контролем по методике Сельдингера, данному пациенту можно выполнить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открытое хирургическое вмешательство с последующей ревизией патологического очага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первичное крупнокалиберное дренирование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дополнительное дренирование стилет - катетером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вторичное крупнокалиберное дренирование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вторичное крупнокалиберное дренирование</w:t>
      </w:r>
    </w:p>
    <w:p>
      <w:pPr>
        <w:ind w:left="504"/>
      </w:pPr>
      <w:r>
        <w:rPr>
          <w:b w:val="0"/>
          <w:i/>
        </w:rPr>
        <w:t>При отсутствии клинического улучшения возможно поэтапное выполнение вторичного крупнокалиберного бужирования с проведением по уже сформированному каналу в гнойную полость телескопических бужей и увеличение оттока содержимого полости.</w:t>
        <w:br/>
        <w:br/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  <w:br/>
        <w:br/>
        <w:t>Глава 5. Чрескожные пункционно – дренирующие методы диагностики и лечения</w:t>
        <w:br/>
        <w:br/>
      </w:r>
      <w:hyperlink r:id="rId3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При панкреатогенном абсцессе размером более 20 мм в полость образования устанавливается +_____+ дренажную(ых) трубку(и)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</w:t>
      </w:r>
    </w:p>
    <w:p>
      <w:pPr>
        <w:ind w:left="504"/>
      </w:pPr>
      <w:r>
        <w:rPr>
          <w:b w:val="0"/>
          <w:i/>
        </w:rPr>
        <w:t>Катетерное дренирование производят при панкреатогенных абсцессах размером более 20 мм из двух точек.</w:t>
        <w:br/>
        <w:br/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  <w:br/>
        <w:br/>
        <w:t>Глава 5. Чрескожные пункционно – дренирующие методы диагностики и лечения</w:t>
        <w:br/>
        <w:br/>
      </w:r>
      <w:hyperlink r:id="rId33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gif"/><Relationship Id="rId10" Type="http://schemas.openxmlformats.org/officeDocument/2006/relationships/image" Target="media/image2.gif"/><Relationship Id="rId11" Type="http://schemas.openxmlformats.org/officeDocument/2006/relationships/image" Target="media/image3.gif"/><Relationship Id="rId12" Type="http://schemas.openxmlformats.org/officeDocument/2006/relationships/image" Target="media/image4.gif"/><Relationship Id="rId13" Type="http://schemas.openxmlformats.org/officeDocument/2006/relationships/image" Target="media/image5.gif"/><Relationship Id="rId14" Type="http://schemas.openxmlformats.org/officeDocument/2006/relationships/image" Target="media/image6.gif"/><Relationship Id="rId15" Type="http://schemas.openxmlformats.org/officeDocument/2006/relationships/hyperlink" Target="https://library.mededtech.ru/rest/documents/cr_135/" TargetMode="External"/><Relationship Id="rId16" Type="http://schemas.openxmlformats.org/officeDocument/2006/relationships/hyperlink" Target="https://library.mededtech.ru/rest/documents/cr_135/#list_item_jmu1q" TargetMode="External"/><Relationship Id="rId17" Type="http://schemas.openxmlformats.org/officeDocument/2006/relationships/image" Target="media/image7.gif"/><Relationship Id="rId18" Type="http://schemas.openxmlformats.org/officeDocument/2006/relationships/hyperlink" Target="https://scardio.ru/content/Guidelines/05_rkj_18_recomendation.pdf" TargetMode="External"/><Relationship Id="rId19" Type="http://schemas.openxmlformats.org/officeDocument/2006/relationships/image" Target="media/image8.gif"/><Relationship Id="rId20" Type="http://schemas.openxmlformats.org/officeDocument/2006/relationships/image" Target="media/image9.gif"/><Relationship Id="rId21" Type="http://schemas.openxmlformats.org/officeDocument/2006/relationships/image" Target="media/image10.gif"/><Relationship Id="rId22" Type="http://schemas.openxmlformats.org/officeDocument/2006/relationships/hyperlink" Target="https://library.mededtech.ru/rest/documents/KP273_21/" TargetMode="External"/><Relationship Id="rId23" Type="http://schemas.openxmlformats.org/officeDocument/2006/relationships/hyperlink" Target="https://library.mededtech.ru/rest/documents/KP273_21/#list_item_sgbr92" TargetMode="External"/><Relationship Id="rId24" Type="http://schemas.openxmlformats.org/officeDocument/2006/relationships/hyperlink" Target="https://library.mededtech.ru/rest/documents/KP273_21/#list_item_3f1u8f" TargetMode="External"/><Relationship Id="rId25" Type="http://schemas.openxmlformats.org/officeDocument/2006/relationships/hyperlink" Target="https://library.mededtech.ru/rest/documents/KP273_21/#paragraph_198bro" TargetMode="External"/><Relationship Id="rId26" Type="http://schemas.openxmlformats.org/officeDocument/2006/relationships/hyperlink" Target="https://library.mededtech.ru/rest/documents/KP273_21/#paragraph_a4uuqv" TargetMode="External"/><Relationship Id="rId27" Type="http://schemas.openxmlformats.org/officeDocument/2006/relationships/hyperlink" Target="https://library.mededtech.ru/rest/documents/ISBN9785970430538/?anchor=paragraph_2dnggs#paragraph_2dnggs" TargetMode="External"/><Relationship Id="rId28" Type="http://schemas.openxmlformats.org/officeDocument/2006/relationships/hyperlink" Target="https://library.mededtech.ru/rest/documents/ISBN9785970430538/?anchor=paragraph_41edcp#paragraph_41edcp" TargetMode="External"/><Relationship Id="rId29" Type="http://schemas.openxmlformats.org/officeDocument/2006/relationships/hyperlink" Target="https://library.mededtech.ru/rest/documents/ISBN9785970430538/?anchor=paragraph_c75u5h#paragraph_c75u5h" TargetMode="External"/><Relationship Id="rId30" Type="http://schemas.openxmlformats.org/officeDocument/2006/relationships/hyperlink" Target="https://library.mededtech.ru/rest/documents/ISBN9785970430538/?anchor=paragraph_43ggvb#paragraph_43ggvb" TargetMode="External"/><Relationship Id="rId31" Type="http://schemas.openxmlformats.org/officeDocument/2006/relationships/hyperlink" Target="https://library.mededtech.ru/rest/documents/ISBN9785970430538/?anchor=paragraph_str6su#paragraph_str6su" TargetMode="External"/><Relationship Id="rId32" Type="http://schemas.openxmlformats.org/officeDocument/2006/relationships/hyperlink" Target="https://library.mededtech.ru/rest/documents/ISBN9785970430538/?anchor=table_664q70#table_664q70" TargetMode="External"/><Relationship Id="rId33" Type="http://schemas.openxmlformats.org/officeDocument/2006/relationships/hyperlink" Target="https://library.mededtech.ru/rest/documents/ISBN9785970430538/?anchor=list_item_l48c4t#list_item_l48c4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